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31E" w:rsidRDefault="0012031E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</w:p>
    <w:p w:rsidR="00E0751D" w:rsidRPr="0012031E" w:rsidRDefault="00E0751D" w:rsidP="0012031E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DICIPLINA FINANCIERA</w:t>
      </w:r>
    </w:p>
    <w:p w:rsidR="00E0751D" w:rsidRDefault="00E0751D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1. Balance Presupuestario de Recursos Disponibles Negativo</w:t>
      </w: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A66A3A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Acciones para recuperar el Balance Presupuestario de Recursos Disponibles Sostenible</w:t>
      </w:r>
      <w:r w:rsidR="0012031E">
        <w:t>.</w:t>
      </w:r>
    </w:p>
    <w:p w:rsidR="00AF5CAD" w:rsidRPr="00AF5CAD" w:rsidRDefault="00AF5CAD" w:rsidP="00E0751D">
      <w:pPr>
        <w:spacing w:after="0" w:line="240" w:lineRule="auto"/>
      </w:pPr>
      <w:bookmarkStart w:id="0" w:name="_GoBack"/>
      <w:bookmarkEnd w:id="0"/>
    </w:p>
    <w:p w:rsidR="00E0751D" w:rsidRDefault="00AF5CAD" w:rsidP="00E0751D">
      <w:pPr>
        <w:spacing w:after="0" w:line="240" w:lineRule="auto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6 y 19</w:t>
      </w:r>
      <w:r>
        <w:rPr>
          <w:i/>
        </w:rPr>
        <w:t xml:space="preserve"> LDF</w:t>
      </w:r>
    </w:p>
    <w:p w:rsidR="00AF5CAD" w:rsidRPr="00AF5CAD" w:rsidRDefault="00AF5CAD" w:rsidP="00E0751D">
      <w:pPr>
        <w:spacing w:after="0" w:line="240" w:lineRule="auto"/>
        <w:rPr>
          <w:i/>
        </w:rPr>
      </w:pPr>
      <w:r>
        <w:rPr>
          <w:noProof/>
          <w:lang w:eastAsia="es-MX"/>
        </w:rPr>
        <w:drawing>
          <wp:inline distT="0" distB="0" distL="0" distR="0" wp14:anchorId="5895C0F9" wp14:editId="0418F910">
            <wp:extent cx="3900713" cy="3533775"/>
            <wp:effectExtent l="0" t="0" r="508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6977" cy="353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1D" w:rsidRDefault="00AF5CAD" w:rsidP="00E0751D">
      <w:pPr>
        <w:spacing w:after="0" w:line="240" w:lineRule="auto"/>
      </w:pPr>
      <w:r>
        <w:rPr>
          <w:noProof/>
          <w:lang w:eastAsia="es-MX"/>
        </w:rPr>
        <w:drawing>
          <wp:inline distT="0" distB="0" distL="0" distR="0" wp14:anchorId="1812E708" wp14:editId="2835E670">
            <wp:extent cx="3980995" cy="1704975"/>
            <wp:effectExtent l="0" t="0" r="63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0703" cy="1709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2. Aumento o creación de nuevo Gasto</w:t>
      </w: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12031E">
      <w:pPr>
        <w:spacing w:after="0" w:line="240" w:lineRule="auto"/>
        <w:jc w:val="both"/>
      </w:pPr>
      <w:r>
        <w:t>a) Fuente de Ingresos del aumento o creación del Gasto no Etiquetado</w:t>
      </w:r>
      <w:r w:rsidR="0012031E">
        <w:t>.</w:t>
      </w:r>
    </w:p>
    <w:p w:rsidR="00E0751D" w:rsidRDefault="00E0751D" w:rsidP="0012031E">
      <w:pPr>
        <w:spacing w:after="0" w:line="240" w:lineRule="auto"/>
        <w:jc w:val="both"/>
      </w:pPr>
      <w:r>
        <w:t>b) Fuente de Ingresos del aumento o creación del Gasto Etiquetado</w:t>
      </w:r>
      <w:r w:rsidR="0012031E">
        <w:t>.</w:t>
      </w:r>
    </w:p>
    <w:p w:rsidR="00E0751D" w:rsidRDefault="00E0751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  <w:r w:rsidRPr="00AF5CAD">
        <w:rPr>
          <w:i/>
        </w:rPr>
        <w:lastRenderedPageBreak/>
        <w:t>Fundamento Art</w:t>
      </w:r>
      <w:r>
        <w:rPr>
          <w:i/>
        </w:rPr>
        <w:t>ículo</w:t>
      </w:r>
      <w:r w:rsidRPr="00AF5CAD">
        <w:rPr>
          <w:i/>
        </w:rPr>
        <w:t xml:space="preserve"> </w:t>
      </w:r>
      <w:r>
        <w:rPr>
          <w:i/>
        </w:rPr>
        <w:t>8</w:t>
      </w:r>
      <w:r w:rsidRPr="00AF5CAD">
        <w:rPr>
          <w:i/>
        </w:rPr>
        <w:t xml:space="preserve"> y </w:t>
      </w:r>
      <w:r>
        <w:rPr>
          <w:i/>
        </w:rPr>
        <w:t>2</w:t>
      </w:r>
      <w:r w:rsidRPr="00AF5CAD">
        <w:rPr>
          <w:i/>
        </w:rPr>
        <w:t>1</w:t>
      </w:r>
      <w:r>
        <w:rPr>
          <w:i/>
        </w:rPr>
        <w:t xml:space="preserve"> LDF</w:t>
      </w:r>
    </w:p>
    <w:p w:rsidR="00E0751D" w:rsidRDefault="00AF5CAD" w:rsidP="00E0751D">
      <w:pPr>
        <w:spacing w:after="0" w:line="240" w:lineRule="auto"/>
      </w:pPr>
      <w:r>
        <w:rPr>
          <w:noProof/>
          <w:lang w:eastAsia="es-MX"/>
        </w:rPr>
        <w:drawing>
          <wp:inline distT="0" distB="0" distL="0" distR="0" wp14:anchorId="47CE3571" wp14:editId="4CE5064B">
            <wp:extent cx="3914775" cy="815578"/>
            <wp:effectExtent l="0" t="0" r="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4622" cy="832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  <w:r>
        <w:rPr>
          <w:noProof/>
          <w:lang w:eastAsia="es-MX"/>
        </w:rPr>
        <w:drawing>
          <wp:inline distT="0" distB="0" distL="0" distR="0" wp14:anchorId="7EFD8351" wp14:editId="5EA3BC20">
            <wp:extent cx="3819525" cy="962582"/>
            <wp:effectExtent l="0" t="0" r="0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50739" cy="970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:rsidR="00E0751D" w:rsidRDefault="00E0751D" w:rsidP="00E0751D">
      <w:pPr>
        <w:spacing w:after="0" w:line="240" w:lineRule="auto"/>
      </w:pPr>
      <w:r>
        <w:t>Se informará solo al 31 de diciembre</w:t>
      </w:r>
    </w:p>
    <w:p w:rsidR="00E0751D" w:rsidRDefault="00E0751D" w:rsidP="00E0751D">
      <w:pPr>
        <w:spacing w:after="0" w:line="240" w:lineRule="auto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970"/>
        <w:gridCol w:w="1700"/>
        <w:gridCol w:w="1417"/>
        <w:gridCol w:w="1603"/>
      </w:tblGrid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A66A3A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Sistema de Agua Potable y Alcantarillado de San Francisco</w:t>
            </w:r>
          </w:p>
        </w:tc>
      </w:tr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Informe de cuentas por pagar y que integran el pasivo circulante al cierre del ejercicio</w:t>
            </w:r>
          </w:p>
        </w:tc>
      </w:tr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A66A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Ejercicio 20</w:t>
            </w:r>
            <w:r w:rsidR="00A66A3A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17</w:t>
            </w:r>
          </w:p>
        </w:tc>
      </w:tr>
      <w:tr w:rsidR="00E0751D" w:rsidRPr="00E0751D" w:rsidTr="00E0751D">
        <w:trPr>
          <w:trHeight w:val="72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COG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Concepto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Devengado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(a)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Pagado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(b)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Cuentas por pagar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(c) = (a-b)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Gasto No Etiquetado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1000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Personales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2000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Materiales y Suministros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3000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Generales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48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4000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Transferencias, Asignaciones, Subsidios y Otras Ayudas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5000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Bienes Muebles, Inmuebles e Intangibles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6000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Inversión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7000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Inversiones Financieras y Otras Provisiones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8000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 xml:space="preserve">Participaciones y Aportaciones 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9000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Deuda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Gasto Etiquetado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1000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Personales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2000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Materiales y Suministros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3000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Generales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48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4000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Transferencias, Asignaciones, Subsidios y Otras Ayudas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5000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Bienes Muebles, Inmuebles e Intangibles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6000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Inversión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7000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Inversiones Financieras y Otras Provisiones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8000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 xml:space="preserve">Participaciones y Aportaciones 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9000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Deuda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</w:tbl>
    <w:p w:rsidR="00E0751D" w:rsidRDefault="00E0751D" w:rsidP="00E0751D">
      <w:pPr>
        <w:spacing w:after="0" w:line="240" w:lineRule="auto"/>
      </w:pPr>
    </w:p>
    <w:p w:rsidR="00AF5CAD" w:rsidRDefault="00AF5CAD" w:rsidP="00AF5CAD">
      <w:pPr>
        <w:spacing w:after="0" w:line="240" w:lineRule="auto"/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</w:t>
      </w:r>
      <w:r>
        <w:rPr>
          <w:i/>
        </w:rPr>
        <w:t>13 VII</w:t>
      </w:r>
      <w:r w:rsidRPr="00AF5CAD">
        <w:rPr>
          <w:i/>
        </w:rPr>
        <w:t xml:space="preserve"> y </w:t>
      </w:r>
      <w:r>
        <w:rPr>
          <w:i/>
        </w:rPr>
        <w:t>2</w:t>
      </w:r>
      <w:r w:rsidRPr="00AF5CAD">
        <w:rPr>
          <w:i/>
        </w:rPr>
        <w:t>1</w:t>
      </w:r>
      <w:r>
        <w:rPr>
          <w:i/>
        </w:rPr>
        <w:t xml:space="preserve"> LDF</w:t>
      </w:r>
    </w:p>
    <w:p w:rsidR="00E0751D" w:rsidRDefault="00AF5CAD" w:rsidP="00E0751D">
      <w:pPr>
        <w:spacing w:after="0" w:line="240" w:lineRule="auto"/>
      </w:pPr>
      <w:r>
        <w:rPr>
          <w:noProof/>
          <w:lang w:eastAsia="es-MX"/>
        </w:rPr>
        <w:drawing>
          <wp:inline distT="0" distB="0" distL="0" distR="0" wp14:anchorId="089396BA" wp14:editId="210A098E">
            <wp:extent cx="3857625" cy="224036"/>
            <wp:effectExtent l="0" t="0" r="0" b="508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31867" cy="23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1D" w:rsidRDefault="00AF5CAD" w:rsidP="00E0751D">
      <w:pPr>
        <w:spacing w:after="0" w:line="240" w:lineRule="auto"/>
      </w:pPr>
      <w:r>
        <w:rPr>
          <w:noProof/>
          <w:lang w:eastAsia="es-MX"/>
        </w:rPr>
        <w:lastRenderedPageBreak/>
        <w:drawing>
          <wp:inline distT="0" distB="0" distL="0" distR="0" wp14:anchorId="2BC59C8F" wp14:editId="5713EC98">
            <wp:extent cx="3848100" cy="496529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17414" cy="505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  <w:r>
        <w:rPr>
          <w:noProof/>
          <w:lang w:eastAsia="es-MX"/>
        </w:rPr>
        <w:drawing>
          <wp:inline distT="0" distB="0" distL="0" distR="0" wp14:anchorId="4AE6BB14" wp14:editId="10A3D931">
            <wp:extent cx="3819525" cy="962582"/>
            <wp:effectExtent l="0" t="0" r="0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50739" cy="970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cada Financiamiento u Obligación contraída en los términos del Título Tercero Capítulo Uno de la Ley de Disciplina Financiera de las Entidades Federativas y Municipios, incluyendo como mínimo, el importe, tasa, plazo, comisiones y demás accesorios pactados.</w:t>
      </w:r>
    </w:p>
    <w:p w:rsidR="00E0751D" w:rsidRDefault="00E0751D" w:rsidP="00E0751D">
      <w:pPr>
        <w:spacing w:after="0" w:line="240" w:lineRule="auto"/>
        <w:jc w:val="both"/>
      </w:pPr>
    </w:p>
    <w:p w:rsidR="00AF5CAD" w:rsidRDefault="00AF5CAD" w:rsidP="00E0751D">
      <w:pPr>
        <w:spacing w:after="0" w:line="240" w:lineRule="auto"/>
        <w:jc w:val="both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</w:t>
      </w:r>
      <w:r>
        <w:rPr>
          <w:i/>
        </w:rPr>
        <w:t>25 LDF</w:t>
      </w:r>
    </w:p>
    <w:p w:rsidR="00AF5CAD" w:rsidRDefault="00AF5CAD" w:rsidP="00E0751D">
      <w:pPr>
        <w:spacing w:after="0" w:line="240" w:lineRule="auto"/>
        <w:jc w:val="both"/>
      </w:pPr>
      <w:r>
        <w:rPr>
          <w:noProof/>
          <w:lang w:eastAsia="es-MX"/>
        </w:rPr>
        <w:drawing>
          <wp:inline distT="0" distB="0" distL="0" distR="0" wp14:anchorId="52A40A8F" wp14:editId="7A35F64C">
            <wp:extent cx="3771900" cy="887910"/>
            <wp:effectExtent l="0" t="0" r="0" b="762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97062" cy="893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  <w:jc w:val="both"/>
      </w:pPr>
    </w:p>
    <w:p w:rsidR="00E0751D" w:rsidRDefault="00E0751D" w:rsidP="00E0751D">
      <w:pPr>
        <w:spacing w:after="0" w:line="240" w:lineRule="auto"/>
        <w:jc w:val="both"/>
      </w:pPr>
    </w:p>
    <w:p w:rsidR="00E0751D" w:rsidRPr="0012031E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las Obligaciones a corto plazo contraídas en los términos del Título Tercero Capítulo Uno de la Ley de Disciplina Financiera de las Entidades Federativas y Municipios, incluyendo por lo menos importe, tasas, plazo, comisiones y cualquier costo relacionado, así mismo se deberá incluir la tasa efectiva.</w:t>
      </w:r>
    </w:p>
    <w:p w:rsidR="0012031E" w:rsidRDefault="0012031E" w:rsidP="00E0751D">
      <w:pPr>
        <w:spacing w:after="0" w:line="240" w:lineRule="auto"/>
        <w:jc w:val="both"/>
      </w:pPr>
    </w:p>
    <w:p w:rsidR="0012031E" w:rsidRDefault="00AF5CAD" w:rsidP="00E0751D">
      <w:pPr>
        <w:spacing w:after="0" w:line="240" w:lineRule="auto"/>
        <w:jc w:val="both"/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</w:t>
      </w:r>
      <w:r>
        <w:rPr>
          <w:i/>
        </w:rPr>
        <w:t>31 LDF</w:t>
      </w:r>
    </w:p>
    <w:p w:rsidR="00AF5CAD" w:rsidRDefault="00AF5CAD" w:rsidP="00E0751D">
      <w:pPr>
        <w:spacing w:after="0" w:line="240" w:lineRule="auto"/>
        <w:jc w:val="both"/>
      </w:pPr>
      <w:r>
        <w:rPr>
          <w:noProof/>
          <w:lang w:eastAsia="es-MX"/>
        </w:rPr>
        <w:drawing>
          <wp:inline distT="0" distB="0" distL="0" distR="0" wp14:anchorId="0BB62AE4" wp14:editId="66982A91">
            <wp:extent cx="3829050" cy="953807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45422" cy="95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  <w:jc w:val="both"/>
      </w:pPr>
    </w:p>
    <w:p w:rsidR="00AF5CAD" w:rsidRDefault="00AF5CAD" w:rsidP="00E0751D">
      <w:pPr>
        <w:spacing w:after="0" w:line="240" w:lineRule="auto"/>
        <w:jc w:val="both"/>
      </w:pPr>
    </w:p>
    <w:p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:rsidR="0012031E" w:rsidRDefault="0012031E" w:rsidP="0012031E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12031E" w:rsidRDefault="0012031E" w:rsidP="0012031E">
      <w:pPr>
        <w:spacing w:after="0" w:line="240" w:lineRule="auto"/>
      </w:pPr>
      <w:r w:rsidRPr="0012031E">
        <w:t>a) La información relativa al cumplimiento de los convenios de Deuda Garantizada.</w:t>
      </w:r>
    </w:p>
    <w:p w:rsidR="00AF5CAD" w:rsidRDefault="00AF5CAD" w:rsidP="0012031E">
      <w:pPr>
        <w:spacing w:after="0" w:line="240" w:lineRule="auto"/>
      </w:pPr>
    </w:p>
    <w:p w:rsidR="00AF5CAD" w:rsidRDefault="00AF5CAD" w:rsidP="0012031E">
      <w:pPr>
        <w:spacing w:after="0" w:line="240" w:lineRule="auto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</w:t>
      </w:r>
      <w:r>
        <w:rPr>
          <w:i/>
        </w:rPr>
        <w:t>40 LDF</w:t>
      </w:r>
    </w:p>
    <w:p w:rsidR="00AF5CAD" w:rsidRDefault="00AF5CAD" w:rsidP="0012031E">
      <w:pPr>
        <w:spacing w:after="0" w:line="240" w:lineRule="auto"/>
        <w:rPr>
          <w:i/>
        </w:rPr>
      </w:pPr>
      <w:r>
        <w:rPr>
          <w:noProof/>
          <w:lang w:eastAsia="es-MX"/>
        </w:rPr>
        <w:lastRenderedPageBreak/>
        <w:drawing>
          <wp:inline distT="0" distB="0" distL="0" distR="0" wp14:anchorId="421A34CE" wp14:editId="0268A346">
            <wp:extent cx="3981195" cy="1609725"/>
            <wp:effectExtent l="0" t="0" r="63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93981" cy="161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Pr="00AF5CAD" w:rsidRDefault="00AF5CAD" w:rsidP="0012031E">
      <w:pPr>
        <w:spacing w:after="0" w:line="240" w:lineRule="auto"/>
        <w:rPr>
          <w:i/>
        </w:rPr>
      </w:pPr>
    </w:p>
    <w:sectPr w:rsidR="00AF5CAD" w:rsidRPr="00AF5CAD" w:rsidSect="00E0751D">
      <w:headerReference w:type="default" r:id="rId19"/>
      <w:footerReference w:type="default" r:id="rId20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570" w:rsidRDefault="00023570" w:rsidP="0012031E">
      <w:pPr>
        <w:spacing w:after="0" w:line="240" w:lineRule="auto"/>
      </w:pPr>
      <w:r>
        <w:separator/>
      </w:r>
    </w:p>
  </w:endnote>
  <w:endnote w:type="continuationSeparator" w:id="0">
    <w:p w:rsidR="00023570" w:rsidRDefault="00023570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438540"/>
      <w:docPartObj>
        <w:docPartGallery w:val="Page Numbers (Bottom of Page)"/>
        <w:docPartUnique/>
      </w:docPartObj>
    </w:sdtPr>
    <w:sdtEndPr/>
    <w:sdtContent>
      <w:p w:rsidR="0012031E" w:rsidRDefault="0012031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A3A" w:rsidRPr="00A66A3A">
          <w:rPr>
            <w:noProof/>
            <w:lang w:val="es-ES"/>
          </w:rPr>
          <w:t>3</w:t>
        </w:r>
        <w:r>
          <w:fldChar w:fldCharType="end"/>
        </w:r>
      </w:p>
    </w:sdtContent>
  </w:sdt>
  <w:p w:rsidR="0012031E" w:rsidRDefault="0012031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570" w:rsidRDefault="00023570" w:rsidP="0012031E">
      <w:pPr>
        <w:spacing w:after="0" w:line="240" w:lineRule="auto"/>
      </w:pPr>
      <w:r>
        <w:separator/>
      </w:r>
    </w:p>
  </w:footnote>
  <w:footnote w:type="continuationSeparator" w:id="0">
    <w:p w:rsidR="00023570" w:rsidRDefault="00023570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31E" w:rsidRDefault="00A66A3A" w:rsidP="0012031E">
    <w:pPr>
      <w:pStyle w:val="Encabezado"/>
      <w:jc w:val="center"/>
    </w:pPr>
    <w:r>
      <w:t>Sistema de Agua Potable y Alcantarillado de San Francisco</w:t>
    </w:r>
  </w:p>
  <w:p w:rsidR="0012031E" w:rsidRDefault="00A66A3A" w:rsidP="0012031E">
    <w:pPr>
      <w:pStyle w:val="Encabezado"/>
      <w:jc w:val="center"/>
    </w:pPr>
    <w:r>
      <w:t>CORRESPONDINTES AL 1er. TRIMESTRE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05A2D"/>
    <w:multiLevelType w:val="hybridMultilevel"/>
    <w:tmpl w:val="ED0C9C5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1D"/>
    <w:rsid w:val="00023570"/>
    <w:rsid w:val="0012031E"/>
    <w:rsid w:val="004C23EA"/>
    <w:rsid w:val="00940570"/>
    <w:rsid w:val="00A66A3A"/>
    <w:rsid w:val="00A827B2"/>
    <w:rsid w:val="00AF5CAD"/>
    <w:rsid w:val="00E0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F432D"/>
  <w15:chartTrackingRefBased/>
  <w15:docId w15:val="{2DFC60F1-1071-4BF9-82F1-E4243B63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394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Corona Barrientos Alejandro</dc:creator>
  <cp:keywords/>
  <dc:description/>
  <cp:lastModifiedBy>Usuario</cp:lastModifiedBy>
  <cp:revision>3</cp:revision>
  <dcterms:created xsi:type="dcterms:W3CDTF">2018-03-20T04:02:00Z</dcterms:created>
  <dcterms:modified xsi:type="dcterms:W3CDTF">2018-04-24T16:56:00Z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